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f3ec5b42f924089"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46567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DJEČJI VRTIĆ LOJTRICA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3.217.455,40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3.909.271,66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3.381.877,03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3.950.230,09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164.421,63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40.958,43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12.162,76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55.709,62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12.162,76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55.709,62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458,0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176.584,39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96.668,05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54,7</w:t>
            </w:r>
          </w:p>
        </w:tc>
      </w:tr>
    </w:tbl>
    <w:p>
      <w:pPr>
        <w:spacing w:before="0" w:after="0"/>
      </w:pPr>
    </w:p>
    <w:p>
      <w:r>
        <w:t xml:space="preserve">Ukupni prihodi sastoje se od tekućih pomoći proračunskog korisnika iz proračuna koji im nije nadležan odnosno Ministarstva znanosti, obrazovanja i mladih u iznosu od 15.823,60€, prihoda od naplate korištenja usluga posebnih program DV Lojtrice u iznosu 57.299,60€, prihodi od najma za korištenja dvorane u iznosu 8.384,00€, donacija 300,00€, te prihoda iz nadležnog proračuna za financiranje rashoda poslovanja u iznosu od 3.825.507,00€.  Ukupni rashodi u iznosu od 3.950.230,09 povećani su za 16,80 indeksnih poena u odnosu na prethodno promatrano razdoblje. Manjak prihoda od 96.668,05€ rezultat je manjka prihoda poslovanja koji iznose 40.958,43€ te manjka prihoda od nefinancijske imovine od 55.709,62€.</w:t>
      </w:r>
    </w:p>
    <w:p>
      <w:r>
        <w:t xml:space="preserve"> </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379.143,03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57.299,60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w:t>
            </w:r>
          </w:p>
        </w:tc>
      </w:tr>
    </w:tbl>
    <w:p>
      <w:pPr>
        <w:spacing w:before="0" w:after="0"/>
      </w:pPr>
    </w:p>
    <w:p>
      <w:r>
        <w:t xml:space="preserve">Odlukom Grada Velike Gorice cijena vrtića je bez financijske naknade za roditelje/skrbnike.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1.957,46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 od prodaje proizvoda i robe predstavlja višak elektirčne energije.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8.384,00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158,8</w:t>
            </w:r>
          </w:p>
        </w:tc>
      </w:tr>
    </w:tbl>
    <w:p>
      <w:pPr>
        <w:spacing w:before="0" w:after="0"/>
      </w:pPr>
    </w:p>
    <w:p>
      <w:r>
        <w:t xml:space="preserve">Prihodi na računu 6615 povećali su se u odnosu na prošlu godinu za 58,80 indeksnih poena zbog povećane potrebe za iznajmljivanjem dvorane DV Lojtrica kroz sportske i plesne aktivnosti.</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2.815.117,77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3.825.507,00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135,9</w:t>
            </w:r>
          </w:p>
        </w:tc>
      </w:tr>
    </w:tbl>
    <w:p>
      <w:pPr>
        <w:spacing w:before="0" w:after="0"/>
      </w:pPr>
    </w:p>
    <w:p>
      <w:r>
        <w:t xml:space="preserve">Prihodi iz nadležnog proačuna povećani su za 35,90% zbog porasta materijalnih prava radnika prema Kolektivnom ugovoru. Povećani kapaciteti vrtića dovode do potrebe zapošljavanja adekvatnog broja zaposlenih te porast materijalnih rashoda imali su najveći učinak na navedeni konto 6711.</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2.262.035,16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2.687.503,74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118,8</w:t>
            </w:r>
          </w:p>
        </w:tc>
      </w:tr>
    </w:tbl>
    <w:p>
      <w:pPr>
        <w:spacing w:before="0" w:after="0"/>
      </w:pPr>
    </w:p>
    <w:p>
      <w:r>
        <w:t xml:space="preserve">Porast materijalnih prava radnika kroz Kolektivni ugovor kao i povećan broj zaposlenih utjecali su na porast rashoda vezanih uz isplatu materijalnih prava radnika.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55.091,75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19.433,61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w:t>
            </w:r>
          </w:p>
        </w:tc>
      </w:tr>
    </w:tbl>
    <w:p>
      <w:pPr>
        <w:spacing w:before="0" w:after="0"/>
      </w:pPr>
    </w:p>
    <w:p>
      <w:r>
        <w:t xml:space="preserve">Uslijed promjena u računovodstvenoj službi nije nastavljen kontinuitet prethodnih knjiženja prekovremenih iz 2024. tako da ovaj podatak nije za usporedbu jer se prekovremeni sati 2025. nalaze na kontu 3111.</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139.328,08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170.841,90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122,6</w:t>
            </w:r>
          </w:p>
        </w:tc>
      </w:tr>
    </w:tbl>
    <w:p>
      <w:pPr>
        <w:spacing w:before="0" w:after="0"/>
      </w:pPr>
    </w:p>
    <w:p>
      <w:r>
        <w:t xml:space="preserve">Ostali rashodi za zaposlene bilježe rast od 22,60% zbog knjiženja zdravstvenih pregleda na ostale rashode za zaposlene umjesto na konto 3236.</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w:t>
            </w:r>
          </w:p>
        </w:tc>
      </w:tr>
    </w:tbl>
    <w:p>
      <w:pPr>
        <w:spacing w:before="0" w:after="0"/>
      </w:pPr>
    </w:p>
    <w:p>
      <w:r>
        <w:t xml:space="preserve">Reducirana službena putovanja u tekućoj godini naspram prethodno promatranog razdoblja.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40.896,67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71.654,67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175,2</w:t>
            </w:r>
          </w:p>
        </w:tc>
      </w:tr>
    </w:tbl>
    <w:p>
      <w:pPr>
        <w:spacing w:before="0" w:after="0"/>
      </w:pPr>
    </w:p>
    <w:p>
      <w:r>
        <w:t xml:space="preserve">Uredski materijal, sredstva za čišćenje i održavanje kao i rashodi za didaktiku utjecali su na porast od 75,20% kao posljedica dva nova objekta u Gradićima i Dubrancu.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179.619,58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207.254,87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115,4</w:t>
            </w:r>
          </w:p>
        </w:tc>
      </w:tr>
    </w:tbl>
    <w:p>
      <w:pPr>
        <w:spacing w:before="0" w:after="0"/>
      </w:pPr>
    </w:p>
    <w:p>
      <w:r>
        <w:t xml:space="preserve">Cijena namirnica odnosno prehrane kao i veći broj upisane djece utjecala je na porast od 15,4% na navedenoj stavci.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9.179,04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15.131,62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164,8</w:t>
            </w:r>
          </w:p>
        </w:tc>
      </w:tr>
    </w:tbl>
    <w:p>
      <w:pPr>
        <w:spacing w:before="0" w:after="0"/>
      </w:pPr>
    </w:p>
    <w:p>
      <w:r>
        <w:t xml:space="preserve">Opremanje novog objekta u Gradićima rezultirala su povećanjem od 64,80 indeksnih poena.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3.244,60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2075,5</w:t>
            </w:r>
          </w:p>
        </w:tc>
      </w:tr>
    </w:tbl>
    <w:p>
      <w:pPr>
        <w:spacing w:before="0" w:after="0"/>
      </w:pPr>
    </w:p>
    <w:p>
      <w:r>
        <w:t xml:space="preserve">Angažiranje odvjetnika zbog savjetovanja imaju značajan utjecaj na navedeni rashod.</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3.256,75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5.014,20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154,0</w:t>
            </w:r>
          </w:p>
        </w:tc>
      </w:tr>
    </w:tbl>
    <w:p>
      <w:pPr>
        <w:spacing w:before="0" w:after="0"/>
      </w:pPr>
    </w:p>
    <w:p>
      <w:r>
        <w:t xml:space="preserve">Održavanje kadrovske evidencije naspram prethodnog razdoblja predstavlja razliku na računalnim uslugama.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6.887,92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w:t>
            </w:r>
          </w:p>
        </w:tc>
      </w:tr>
    </w:tbl>
    <w:p>
      <w:pPr>
        <w:spacing w:before="0" w:after="0"/>
      </w:pPr>
    </w:p>
    <w:p>
      <w:r>
        <w:t xml:space="preserve">Tehničko ispitivanje sustava zaštite na radu u 2024 godini značajno je povečalo navedeni konto naspram 2025 godine.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6.624,49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53,4</w:t>
            </w:r>
          </w:p>
        </w:tc>
      </w:tr>
    </w:tbl>
    <w:p>
      <w:pPr>
        <w:spacing w:before="0" w:after="0"/>
      </w:pPr>
    </w:p>
    <w:p>
      <w:r>
        <w:t xml:space="preserve">Naknada za ispunjenje kvote zapošljavanja osoba s invaliditetom prema broju zaposlenika ima najveći utjecaj na stavci pristojba i naknada gdje kroz tekuću godinu kvota je u većini mjeseci bila zadovoljena te nije bilo potrebe za isplatom naknade.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1.382,02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804,54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58,2</w:t>
            </w:r>
          </w:p>
        </w:tc>
      </w:tr>
    </w:tbl>
    <w:p>
      <w:pPr>
        <w:spacing w:before="0" w:after="0"/>
      </w:pPr>
    </w:p>
    <w:p>
      <w:r>
        <w:t xml:space="preserve">Nabava tatami podloge u prethodnoj godini predstavlja razliku u nespomenutim rashodima poslovanja.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164.421,63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40.958,43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w:t>
            </w:r>
          </w:p>
        </w:tc>
      </w:tr>
    </w:tbl>
    <w:p>
      <w:pPr>
        <w:spacing w:before="0" w:after="0"/>
      </w:pPr>
    </w:p>
    <w:p>
      <w:r>
        <w:t xml:space="preserve">Ostvareni manjak prihoda poslovanja od 40.958,43€ predstavlja značajano smanjenje naspram prošlogodišnjeg manjka u iznosu od 164.421,63€.</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i pruženih usluga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2.225,98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356,7</w:t>
            </w:r>
          </w:p>
        </w:tc>
      </w:tr>
    </w:tbl>
    <w:p>
      <w:pPr>
        <w:spacing w:before="0" w:after="0"/>
      </w:pPr>
    </w:p>
    <w:p>
      <w:r>
        <w:t xml:space="preserve">Višak električne energije fakturiran sa zadnjim danom u 2025. što je automatizmom povećalo navedenu stavku.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6.055,00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51.933,37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857,7</w:t>
            </w:r>
          </w:p>
        </w:tc>
      </w:tr>
    </w:tbl>
    <w:p>
      <w:pPr>
        <w:spacing w:before="0" w:after="0"/>
      </w:pPr>
    </w:p>
    <w:p>
      <w:r>
        <w:t xml:space="preserve">Stavka uređaja, strojeva i oprema odnosi se na nabavku opreme za objekt u Gradićima.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163.832,66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189.761,27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115,8</w:t>
            </w:r>
          </w:p>
        </w:tc>
      </w:tr>
    </w:tbl>
    <w:p>
      <w:pPr>
        <w:spacing w:before="0" w:after="0"/>
      </w:pPr>
    </w:p>
    <w:p>
      <w:r>
        <w:t xml:space="preserve">Povećanje imovine za 15,8 indeksnih poena najvećim djelom je generirano nabavkom opreme za vrtić u Gradićima.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124.320,38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148.248,71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119,2</w:t>
            </w:r>
          </w:p>
        </w:tc>
      </w:tr>
    </w:tbl>
    <w:p>
      <w:pPr>
        <w:spacing w:before="0" w:after="0"/>
      </w:pPr>
    </w:p>
    <w:p>
      <w:r>
        <w:t xml:space="preserve">Napravljena usklada analitike osnovnih sredstava sa glavnom knjigom. Kroz naredno razdoblje potrebno je organizirati analitiku osnovnih sredstava po izvorima kako bi istu bilo moguće pratiti kroz svako osnovno sredstvo po izvorima.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6.322,82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189,4</w:t>
            </w:r>
          </w:p>
        </w:tc>
      </w:tr>
    </w:tbl>
    <w:p>
      <w:pPr>
        <w:spacing w:before="0" w:after="0"/>
      </w:pPr>
    </w:p>
    <w:p>
      <w:r>
        <w:t xml:space="preserve">Potraživanja za naknade koje se refundiraju od strane HZZO-a.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335.985,17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440.726,85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131,2</w:t>
            </w:r>
          </w:p>
        </w:tc>
      </w:tr>
    </w:tbl>
    <w:p>
      <w:pPr>
        <w:spacing w:before="0" w:after="0"/>
      </w:pPr>
    </w:p>
    <w:p>
      <w:r>
        <w:t xml:space="preserve">Napravljena je usklada analitičkih konta obveza sa glavnom knjigom po izvorima financiranja te provedena inventura obveza po izvorima jer u zatečenom stanju isto nije bilo usklađeno.</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19.553,57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3928,7</w:t>
            </w:r>
          </w:p>
        </w:tc>
      </w:tr>
    </w:tbl>
    <w:p>
      <w:pPr>
        <w:spacing w:before="0" w:after="0"/>
      </w:pPr>
    </w:p>
    <w:p>
      <w:r>
        <w:t xml:space="preserve">Obveza za nabavu opreme distributivne kuhinje u Gradićima kao i nabava opreme u centralnom objektu.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1.535,46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184,6</w:t>
            </w:r>
          </w:p>
        </w:tc>
      </w:tr>
    </w:tbl>
    <w:p>
      <w:pPr>
        <w:spacing w:before="0" w:after="0"/>
      </w:pPr>
    </w:p>
    <w:p>
      <w:r>
        <w:t xml:space="preserve">Refundacija bolovanja izvor 1.1. u ukupnom iznosu iskazanim na kontu 27.</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-317.053,20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-413.721,25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130,5</w:t>
            </w:r>
          </w:p>
        </w:tc>
      </w:tr>
    </w:tbl>
    <w:p>
      <w:pPr>
        <w:spacing w:before="0" w:after="0"/>
      </w:pPr>
    </w:p>
    <w:p>
      <w:r>
        <w:t xml:space="preserve">Rezultat od -413.721,25€ sastoji se od manjka prihoda poslovanja u iznsou od -215.034,59€ te manjka prihoda od nefinancijske imovine u iznosu od -198.686,66€.</w:t>
      </w:r>
    </w:p>
    <w:p>
      <w:r>
        <w:t xml:space="preserve">Obvezna korekcija rezultata prema Pravilniku čl. 215 nije rađena budući da nisu zadovoljeni uvjeti za provedbu korekcije.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36.173,82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28.259,23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78,1</w:t>
            </w:r>
          </w:p>
        </w:tc>
      </w:tr>
    </w:tbl>
    <w:p>
      <w:pPr>
        <w:spacing w:before="0" w:after="0"/>
      </w:pPr>
    </w:p>
    <w:p>
      <w:r>
        <w:t xml:space="preserve">Iznos nedospjelih potraživanja odnosi se na;</w:t>
      </w:r>
    </w:p>
    <w:p>
      <w:r>
        <w:t xml:space="preserve">-obračun naknade za vrtić za 12/2025 i  na nepodmirena dugovanja iz prijašnjih mjeseci 2025. godine (šifra 165)</w:t>
      </w:r>
    </w:p>
    <w:p>
      <w:r>
        <w:t xml:space="preserve">-obračunati prihod o zakupa prostora vrtića za 12/2025 (šifra 166)</w:t>
      </w:r>
    </w:p>
    <w:p>
      <w:r>
        <w:t xml:space="preserve">-potraživanja proračunskih korisnika za sredstva uplaćena u nadležni proračun (šifra 167)</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Predškolsko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3.214.420,21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3.798.684,84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118,2</w:t>
            </w:r>
          </w:p>
        </w:tc>
      </w:tr>
    </w:tbl>
    <w:p>
      <w:pPr>
        <w:spacing w:before="0" w:after="0"/>
      </w:pPr>
    </w:p>
    <w:p>
      <w:r>
        <w:t xml:space="preserve">Predškolske ustanove rashode ostvarene u izvještajnom razdoblju iskazuju na šifri 0911 navedenog obrasca. Troškovi prehrane djece evidentiraju se posebno na šifri 096-dodatne usluge u obrazovanju, te za 2025. iznose 207.254,87€.</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79.177,24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odnose se na zahtjeve prema riznici broj; Z-332-334, 338-339, 342, 345-346, 348, 350, 352-356, 358-364, 366-367 te zahtjev 369.</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361.549,61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kraju izvještajnog razdoblja odnosi se na plaću za zaposlene 12/2025, naknade članovima Upravnog vijeća za 12/2025 kao i materijalnih rashoda vezanih za obračunsko razdoblje do 31.12.2025.</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na kontu 27 predstavljaju obveze proračunskog korisnika za povrat u proračun vezan uz bolovanje na teret HZZO-a u ukupnom iznosu na izvoru 1.1.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11eaed5191324646" /></Relationships>
</file>